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554E7393" w:rsidR="00F20995" w:rsidRPr="009F1054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F1054">
        <w:rPr>
          <w:rFonts w:eastAsia="Times New Roman" w:cs="Times New Roman"/>
          <w:b/>
          <w:lang w:eastAsia="cs-CZ"/>
        </w:rPr>
        <w:t>Číslo smlouvy kupujícího ………………</w:t>
      </w:r>
    </w:p>
    <w:p w14:paraId="6DF16FA9" w14:textId="3DB4B282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CD2AA01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196BB4">
        <w:rPr>
          <w:rFonts w:ascii="Verdana" w:eastAsia="Times New Roman" w:hAnsi="Verdana" w:cs="Times New Roman"/>
          <w:b/>
          <w:lang w:eastAsia="cs-CZ"/>
        </w:rPr>
        <w:t>Kupující:</w:t>
      </w:r>
      <w:r w:rsidRPr="00196BB4">
        <w:rPr>
          <w:rFonts w:ascii="Verdana" w:eastAsia="Times New Roman" w:hAnsi="Verdana" w:cs="Times New Roman"/>
          <w:b/>
          <w:lang w:eastAsia="cs-CZ"/>
        </w:rPr>
        <w:tab/>
        <w:t>Správa železnic, státní organizace</w:t>
      </w:r>
    </w:p>
    <w:p w14:paraId="28D0B46B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 xml:space="preserve">zapsaná v obchodním rejstříku vedeném Městským soudem v Praze pod sp. zn. </w:t>
      </w: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A 48384</w:t>
      </w:r>
    </w:p>
    <w:p w14:paraId="69A62E5B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Praha 1 - Nové Město, Dlážděná 1003/7, PSČ 110 00</w:t>
      </w:r>
    </w:p>
    <w:p w14:paraId="274D4FD2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IČ 70994234, DIČ CZ70994234</w:t>
      </w:r>
    </w:p>
    <w:p w14:paraId="5BFC014E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b/>
          <w:lang w:eastAsia="cs-CZ"/>
        </w:rPr>
        <w:t xml:space="preserve">organizační složka Oblastní ředitelství Olomouc, </w:t>
      </w:r>
    </w:p>
    <w:p w14:paraId="6DCAFB41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>zastoupená Ing. Ladislavem Kašparem, ředitelem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73D7D20" w14:textId="53D117CE" w:rsidR="005A37E3" w:rsidRDefault="005A37E3" w:rsidP="005A37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>
        <w:rPr>
          <w:rFonts w:eastAsia="Times New Roman" w:cs="Times New Roman"/>
          <w:b/>
          <w:lang w:eastAsia="cs-CZ"/>
        </w:rPr>
        <w:t>„</w:t>
      </w:r>
      <w:r w:rsidR="00213587" w:rsidRPr="00213587">
        <w:rPr>
          <w:rFonts w:eastAsia="Times New Roman" w:cs="Times New Roman"/>
          <w:b/>
          <w:lang w:eastAsia="cs-CZ"/>
        </w:rPr>
        <w:t>Dodání proudového zdroje na testování rychlovypínačů DC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č. j. </w:t>
      </w:r>
      <w:r w:rsidR="00213587" w:rsidRPr="00213587">
        <w:rPr>
          <w:rFonts w:eastAsia="Times New Roman" w:cs="Times New Roman"/>
          <w:lang w:eastAsia="cs-CZ"/>
        </w:rPr>
        <w:t>15181/2020-SŽ-OŘ OLC-NPI</w:t>
      </w:r>
      <w:r>
        <w:rPr>
          <w:rFonts w:eastAsia="Times New Roman" w:cs="Times New Roman"/>
          <w:lang w:eastAsia="cs-CZ"/>
        </w:rPr>
        <w:t xml:space="preserve"> (dále jen „veřejná zakázka“). Jednotlivá ustanovení této Smlouvy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203F4786" w14:textId="7243B9E4" w:rsidR="007E0CF4" w:rsidRPr="00213587" w:rsidRDefault="007E0CF4" w:rsidP="00213587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Verdana" w:eastAsia="Verdana" w:hAnsi="Verdana" w:cs="Times New Roman"/>
          <w:b/>
        </w:rPr>
      </w:pPr>
      <w:r w:rsidRPr="007E0CF4">
        <w:rPr>
          <w:rFonts w:ascii="Verdana" w:eastAsia="Verdana" w:hAnsi="Verdana" w:cs="Times New Roman"/>
          <w:b/>
        </w:rPr>
        <w:t xml:space="preserve">Předmětem koupě je </w:t>
      </w:r>
      <w:r w:rsidRPr="00213587">
        <w:rPr>
          <w:rFonts w:ascii="Verdana" w:eastAsia="Verdana" w:hAnsi="Verdana" w:cs="Times New Roman"/>
        </w:rPr>
        <w:t xml:space="preserve">dodání </w:t>
      </w:r>
      <w:r w:rsidR="00213587" w:rsidRPr="00213587">
        <w:rPr>
          <w:rFonts w:ascii="Verdana" w:eastAsia="Verdana" w:hAnsi="Verdana" w:cs="Times New Roman"/>
        </w:rPr>
        <w:t>proudového zdroje na testování rychlovypínačů DC, včetně kalibrační jednotky</w:t>
      </w:r>
      <w:r w:rsidR="00213587">
        <w:rPr>
          <w:rFonts w:ascii="Verdana" w:eastAsia="Verdana" w:hAnsi="Verdana" w:cs="Times New Roman"/>
        </w:rPr>
        <w:t>.</w:t>
      </w:r>
    </w:p>
    <w:p w14:paraId="09A7251D" w14:textId="77777777" w:rsidR="00213587" w:rsidRPr="005D7166" w:rsidRDefault="00213587" w:rsidP="00213587">
      <w:pPr>
        <w:spacing w:after="120"/>
        <w:ind w:left="567"/>
        <w:jc w:val="both"/>
        <w:rPr>
          <w:u w:val="single"/>
        </w:rPr>
      </w:pPr>
      <w:r w:rsidRPr="009C0B94">
        <w:rPr>
          <w:u w:val="single"/>
        </w:rPr>
        <w:t>Technické parametry:</w:t>
      </w:r>
    </w:p>
    <w:tbl>
      <w:tblPr>
        <w:tblStyle w:val="Mkatabulky"/>
        <w:tblW w:w="0" w:type="auto"/>
        <w:tblInd w:w="646" w:type="dxa"/>
        <w:tblLook w:val="04A0" w:firstRow="1" w:lastRow="0" w:firstColumn="1" w:lastColumn="0" w:noHBand="0" w:noVBand="1"/>
      </w:tblPr>
      <w:tblGrid>
        <w:gridCol w:w="3431"/>
        <w:gridCol w:w="3969"/>
      </w:tblGrid>
      <w:tr w:rsidR="00213587" w:rsidRPr="005D7166" w14:paraId="3E6A44EA" w14:textId="77777777" w:rsidTr="00FB42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7A89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Zdroj napájení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D208" w14:textId="77777777" w:rsidR="00213587" w:rsidRPr="005D7166" w:rsidRDefault="00213587" w:rsidP="00FB42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Pomocné napájení 220-240V AC</w:t>
            </w:r>
          </w:p>
        </w:tc>
      </w:tr>
      <w:tr w:rsidR="00213587" w:rsidRPr="005D7166" w14:paraId="04809513" w14:textId="77777777" w:rsidTr="00FB4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8DD7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Napájecí napětí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39DC" w14:textId="77777777" w:rsidR="00213587" w:rsidRPr="005D7166" w:rsidRDefault="00213587" w:rsidP="00FB4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Baterie a zdroj 12V DC-15,7V DC</w:t>
            </w:r>
          </w:p>
        </w:tc>
      </w:tr>
      <w:tr w:rsidR="00213587" w:rsidRPr="005D7166" w14:paraId="02A10C24" w14:textId="77777777" w:rsidTr="00FB4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BFCF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Rozsah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5418" w14:textId="77777777" w:rsidR="00213587" w:rsidRPr="005D7166" w:rsidRDefault="00213587" w:rsidP="00FB4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Až 4000A</w:t>
            </w:r>
          </w:p>
        </w:tc>
      </w:tr>
      <w:tr w:rsidR="00213587" w:rsidRPr="005D7166" w14:paraId="45A915CB" w14:textId="77777777" w:rsidTr="00FB4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785F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Jednotka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D6AB" w14:textId="77777777" w:rsidR="00213587" w:rsidRPr="005D7166" w:rsidRDefault="00213587" w:rsidP="00FB4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DC/DC proudový měnič 4000A</w:t>
            </w:r>
          </w:p>
        </w:tc>
      </w:tr>
      <w:tr w:rsidR="00213587" w:rsidRPr="005D7166" w14:paraId="2E06A6F2" w14:textId="77777777" w:rsidTr="00FB4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E504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Výstupní charakteristiky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7CE2" w14:textId="77777777" w:rsidR="00213587" w:rsidRPr="005D7166" w:rsidRDefault="00213587" w:rsidP="00FB4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Výstupní napětí 3,6V DC – 4,71V DC</w:t>
            </w:r>
          </w:p>
        </w:tc>
      </w:tr>
      <w:tr w:rsidR="00213587" w:rsidRPr="005D7166" w14:paraId="131A1546" w14:textId="77777777" w:rsidTr="00FB4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6F46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CB6B5" w14:textId="77777777" w:rsidR="00213587" w:rsidRPr="005D7166" w:rsidRDefault="00213587" w:rsidP="00FB4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lang w:val="en-US"/>
              </w:rPr>
            </w:pPr>
            <w:r w:rsidRPr="005D7166">
              <w:rPr>
                <w:rFonts w:ascii="Verdana" w:hAnsi="Verdana"/>
                <w:sz w:val="18"/>
                <w:lang w:val="en-US"/>
              </w:rPr>
              <w:t>Výstupní proud 4000A-15000A</w:t>
            </w:r>
          </w:p>
        </w:tc>
      </w:tr>
      <w:tr w:rsidR="00213587" w:rsidRPr="005D7166" w14:paraId="4428BB48" w14:textId="77777777" w:rsidTr="00FB4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D7E6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Měřicí charakteristiky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789B" w14:textId="77777777" w:rsidR="00213587" w:rsidRPr="005D7166" w:rsidRDefault="00213587" w:rsidP="00FB4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lang w:val="en-US"/>
              </w:rPr>
            </w:pPr>
            <w:r w:rsidRPr="005D7166">
              <w:rPr>
                <w:rFonts w:ascii="Verdana" w:hAnsi="Verdana"/>
                <w:sz w:val="18"/>
                <w:lang w:val="en-US"/>
              </w:rPr>
              <w:t>Měření vypínacího proudu</w:t>
            </w:r>
          </w:p>
        </w:tc>
      </w:tr>
      <w:tr w:rsidR="00213587" w:rsidRPr="005D7166" w14:paraId="36FF914D" w14:textId="77777777" w:rsidTr="00FB4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A55A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Úroveň odrušení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52A0" w14:textId="77777777" w:rsidR="00213587" w:rsidRPr="005D7166" w:rsidRDefault="00213587" w:rsidP="00FB4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lang w:val="en-US"/>
              </w:rPr>
            </w:pPr>
            <w:r w:rsidRPr="005D7166">
              <w:rPr>
                <w:rFonts w:ascii="Verdana" w:hAnsi="Verdana"/>
                <w:sz w:val="18"/>
                <w:lang w:val="en-US"/>
              </w:rPr>
              <w:t>Měření vstupního času</w:t>
            </w:r>
          </w:p>
        </w:tc>
      </w:tr>
      <w:tr w:rsidR="00213587" w:rsidRPr="005D7166" w14:paraId="35C85728" w14:textId="77777777" w:rsidTr="00FB4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1443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Vybíjecí odpor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074A" w14:textId="77777777" w:rsidR="00213587" w:rsidRPr="005D7166" w:rsidRDefault="00213587" w:rsidP="00FB4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  <w:lang w:val="en-US"/>
              </w:rPr>
              <w:t>Měření poklesu napětí</w:t>
            </w:r>
          </w:p>
        </w:tc>
      </w:tr>
      <w:tr w:rsidR="00213587" w:rsidRPr="005D7166" w14:paraId="5FC24B43" w14:textId="77777777" w:rsidTr="00FB42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78FD" w14:textId="77777777" w:rsidR="00213587" w:rsidRPr="005D7166" w:rsidRDefault="00213587" w:rsidP="00FB42A9">
            <w:pPr>
              <w:rPr>
                <w:rFonts w:ascii="Verdana" w:hAnsi="Verdana"/>
                <w:sz w:val="18"/>
              </w:rPr>
            </w:pPr>
            <w:r w:rsidRPr="005D7166">
              <w:rPr>
                <w:rFonts w:ascii="Verdana" w:hAnsi="Verdana"/>
                <w:sz w:val="18"/>
              </w:rPr>
              <w:t>Stupeň Krytí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26B7C" w14:textId="77777777" w:rsidR="00213587" w:rsidRPr="005D7166" w:rsidRDefault="00213587" w:rsidP="00FB42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lang w:val="en-US"/>
              </w:rPr>
            </w:pPr>
            <w:r w:rsidRPr="005D7166">
              <w:rPr>
                <w:rFonts w:ascii="Verdana" w:hAnsi="Verdana"/>
                <w:sz w:val="18"/>
                <w:lang w:val="en-US"/>
              </w:rPr>
              <w:t>IP22</w:t>
            </w:r>
          </w:p>
        </w:tc>
      </w:tr>
    </w:tbl>
    <w:p w14:paraId="29584421" w14:textId="3335276A" w:rsidR="00D85C5B" w:rsidRPr="009F1054" w:rsidRDefault="00D85C5B" w:rsidP="009F1054">
      <w:pPr>
        <w:pStyle w:val="Nadpis1"/>
        <w:spacing w:before="240"/>
        <w:ind w:left="567" w:hanging="567"/>
        <w:rPr>
          <w:rFonts w:eastAsia="Times New Roman"/>
          <w:lang w:eastAsia="cs-CZ"/>
        </w:rPr>
      </w:pPr>
      <w:r w:rsidRPr="009F1054">
        <w:rPr>
          <w:rStyle w:val="Siln"/>
          <w:rFonts w:eastAsiaTheme="majorEastAsia"/>
          <w:b/>
        </w:rPr>
        <w:t>Kupní</w:t>
      </w:r>
      <w:r w:rsidRPr="009F1054">
        <w:rPr>
          <w:rFonts w:eastAsia="Times New Roman"/>
          <w:lang w:eastAsia="cs-CZ"/>
        </w:rPr>
        <w:t xml:space="preserve"> cena </w:t>
      </w:r>
      <w:r w:rsidR="00F20995" w:rsidRPr="009F1054">
        <w:rPr>
          <w:rFonts w:eastAsia="Times New Roman"/>
          <w:lang w:eastAsia="cs-CZ"/>
        </w:rPr>
        <w:t>předmětu koupě</w:t>
      </w:r>
    </w:p>
    <w:p w14:paraId="2051ECE8" w14:textId="1BC0AA36" w:rsidR="00C24C30" w:rsidRDefault="00C24C30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</w:p>
    <w:p w14:paraId="0F3B85A8" w14:textId="494E98B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300D7483" w14:textId="643629C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5A37E3">
        <w:rPr>
          <w:rFonts w:eastAsia="Times New Roman" w:cs="Times New Roman"/>
          <w:lang w:eastAsia="cs-CZ"/>
        </w:rPr>
        <w:t>. Kč</w:t>
      </w:r>
    </w:p>
    <w:p w14:paraId="47A205F7" w14:textId="3EECB6B9" w:rsidR="002B20CA" w:rsidRPr="005A37E3" w:rsidRDefault="007F5EC4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5A37E3">
        <w:rPr>
          <w:rFonts w:eastAsia="Times New Roman" w:cs="Times New Roman"/>
          <w:lang w:eastAsia="cs-CZ"/>
        </w:rPr>
        <w:t>dodacího listu.</w:t>
      </w:r>
    </w:p>
    <w:p w14:paraId="70884A3F" w14:textId="77777777" w:rsidR="00D85C5B" w:rsidRPr="005A37E3" w:rsidRDefault="00D85C5B" w:rsidP="000E4F4B">
      <w:pPr>
        <w:pStyle w:val="Nadpis1"/>
        <w:rPr>
          <w:rFonts w:eastAsia="Times New Roman"/>
          <w:lang w:eastAsia="cs-CZ"/>
        </w:rPr>
      </w:pPr>
      <w:r w:rsidRPr="005A37E3">
        <w:rPr>
          <w:rFonts w:eastAsia="Times New Roman"/>
          <w:lang w:eastAsia="cs-CZ"/>
        </w:rPr>
        <w:t>Místo a doba dodání</w:t>
      </w:r>
    </w:p>
    <w:p w14:paraId="37954E98" w14:textId="1AD3C2CC" w:rsidR="00D85C5B" w:rsidRPr="005A37E3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Místo dodání</w:t>
      </w:r>
      <w:r w:rsidR="009F1054">
        <w:rPr>
          <w:rFonts w:eastAsia="Times New Roman" w:cs="Times New Roman"/>
          <w:lang w:eastAsia="cs-CZ"/>
        </w:rPr>
        <w:t xml:space="preserve">: </w:t>
      </w:r>
      <w:r w:rsidR="00213587">
        <w:rPr>
          <w:rFonts w:eastAsia="Times New Roman" w:cs="Times New Roman"/>
          <w:lang w:eastAsia="cs-CZ"/>
        </w:rPr>
        <w:t>TNS Nedakonice</w:t>
      </w:r>
    </w:p>
    <w:p w14:paraId="5115D35D" w14:textId="6372E9A0" w:rsidR="00D85C5B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Předmět koupě bude dodán do </w:t>
      </w:r>
      <w:r w:rsidR="009F1054" w:rsidRPr="009F1054">
        <w:rPr>
          <w:rFonts w:eastAsia="Times New Roman" w:cs="Times New Roman"/>
          <w:lang w:eastAsia="cs-CZ"/>
        </w:rPr>
        <w:t>60 dní po zveřejnění kupní smlouvy v registru smluv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Speciální balení se nevyžaduje.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534FF70D" w:rsidR="00D85C5B" w:rsidRPr="005A37E3" w:rsidRDefault="001C4874" w:rsidP="005A37E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5A37E3">
        <w:rPr>
          <w:rFonts w:eastAsia="Times New Roman" w:cs="Times New Roman"/>
          <w:lang w:eastAsia="cs-CZ"/>
        </w:rPr>
        <w:t xml:space="preserve">(minimálně </w:t>
      </w:r>
      <w:r w:rsidR="00CD7BE5">
        <w:rPr>
          <w:rFonts w:eastAsia="Times New Roman" w:cs="Times New Roman"/>
          <w:lang w:eastAsia="cs-CZ"/>
        </w:rPr>
        <w:t>24</w:t>
      </w:r>
      <w:r w:rsidRPr="005A37E3">
        <w:rPr>
          <w:rFonts w:eastAsia="Times New Roman" w:cs="Times New Roman"/>
          <w:lang w:eastAsia="cs-CZ"/>
        </w:rPr>
        <w:t xml:space="preserve">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147C48A8" w:rsidR="00A33BB9" w:rsidRDefault="00A33BB9" w:rsidP="005A37E3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provedení Díla se </w:t>
      </w:r>
      <w:r w:rsidR="005A37E3">
        <w:rPr>
          <w:rFonts w:eastAsia="Times New Roman" w:cs="Times New Roman"/>
          <w:highlight w:val="yellow"/>
          <w:lang w:eastAsia="cs-CZ"/>
        </w:rPr>
        <w:t>budou/ne</w:t>
      </w:r>
      <w:r w:rsidRPr="00A33BB9">
        <w:rPr>
          <w:rFonts w:eastAsia="Times New Roman" w:cs="Times New Roman"/>
          <w:highlight w:val="yellow"/>
          <w:lang w:eastAsia="cs-CZ"/>
        </w:rPr>
        <w:t xml:space="preserve">budou </w:t>
      </w:r>
      <w:r w:rsidR="005A37E3" w:rsidRPr="005A37E3">
        <w:rPr>
          <w:rFonts w:eastAsia="Times New Roman" w:cs="Times New Roman"/>
          <w:i/>
          <w:highlight w:val="yellow"/>
          <w:lang w:eastAsia="cs-CZ"/>
        </w:rPr>
        <w:t>(nehodící se vymaže)</w:t>
      </w:r>
      <w:r w:rsidR="005A37E3">
        <w:rPr>
          <w:rFonts w:eastAsia="Times New Roman" w:cs="Times New Roman"/>
          <w:highlight w:val="yellow"/>
          <w:lang w:eastAsia="cs-CZ"/>
        </w:rPr>
        <w:t xml:space="preserve"> </w:t>
      </w:r>
      <w:r w:rsidRPr="00A33BB9">
        <w:rPr>
          <w:rFonts w:eastAsia="Times New Roman" w:cs="Times New Roman"/>
          <w:highlight w:val="yellow"/>
          <w:lang w:eastAsia="cs-CZ"/>
        </w:rPr>
        <w:t>podílet poddodavatelé</w:t>
      </w:r>
      <w:r w:rsidR="005A37E3">
        <w:rPr>
          <w:rFonts w:eastAsia="Times New Roman" w:cs="Times New Roman"/>
          <w:highlight w:val="yellow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A37E3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Kontaktními osobami </w:t>
      </w:r>
      <w:r w:rsidR="008B1447" w:rsidRPr="005A37E3">
        <w:rPr>
          <w:rFonts w:eastAsia="Times New Roman" w:cs="Times New Roman"/>
          <w:lang w:eastAsia="cs-CZ"/>
        </w:rPr>
        <w:t>Sml</w:t>
      </w:r>
      <w:r w:rsidRPr="005A37E3">
        <w:rPr>
          <w:rFonts w:eastAsia="Times New Roman" w:cs="Times New Roman"/>
          <w:lang w:eastAsia="cs-CZ"/>
        </w:rPr>
        <w:t>uvních stran jsou</w:t>
      </w:r>
    </w:p>
    <w:p w14:paraId="04A8EF3F" w14:textId="575E966E" w:rsidR="00D85C5B" w:rsidRPr="004E19DE" w:rsidRDefault="00D85C5B" w:rsidP="005A37E3">
      <w:pPr>
        <w:spacing w:after="120" w:line="240" w:lineRule="auto"/>
        <w:ind w:left="1418" w:hanging="709"/>
        <w:rPr>
          <w:rFonts w:eastAsia="Times New Roman" w:cs="Times New Roman"/>
          <w:highlight w:val="yellow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za Kupujícího </w:t>
      </w:r>
      <w:r w:rsidR="00213587">
        <w:rPr>
          <w:rFonts w:eastAsia="Times New Roman" w:cs="Times New Roman"/>
          <w:lang w:eastAsia="cs-CZ"/>
        </w:rPr>
        <w:t>Ing. Jan Pavláček</w:t>
      </w:r>
      <w:r w:rsidR="009F1054" w:rsidRPr="009F1054">
        <w:rPr>
          <w:rFonts w:eastAsia="Times New Roman" w:cs="Times New Roman"/>
          <w:lang w:eastAsia="cs-CZ"/>
        </w:rPr>
        <w:t xml:space="preserve">, mob.: </w:t>
      </w:r>
      <w:r w:rsidR="00213587">
        <w:rPr>
          <w:rFonts w:eastAsia="Times New Roman" w:cs="Times New Roman"/>
          <w:lang w:eastAsia="cs-CZ"/>
        </w:rPr>
        <w:t>724 460 766</w:t>
      </w:r>
      <w:r w:rsidR="009F1054" w:rsidRPr="009F1054">
        <w:rPr>
          <w:rFonts w:eastAsia="Times New Roman" w:cs="Times New Roman"/>
          <w:lang w:eastAsia="cs-CZ"/>
        </w:rPr>
        <w:t xml:space="preserve">, </w:t>
      </w:r>
      <w:r w:rsidR="00213587">
        <w:rPr>
          <w:rFonts w:eastAsia="Times New Roman" w:cs="Times New Roman"/>
          <w:lang w:eastAsia="cs-CZ"/>
        </w:rPr>
        <w:br/>
        <w:t xml:space="preserve">         </w:t>
      </w:r>
      <w:r w:rsidR="009F1054" w:rsidRPr="009F1054">
        <w:rPr>
          <w:rFonts w:eastAsia="Times New Roman" w:cs="Times New Roman"/>
          <w:lang w:eastAsia="cs-CZ"/>
        </w:rPr>
        <w:t xml:space="preserve">e-mail: </w:t>
      </w:r>
      <w:hyperlink r:id="rId11" w:history="1">
        <w:r w:rsidR="00213587" w:rsidRPr="00DB1A18">
          <w:rPr>
            <w:rStyle w:val="Hypertextovodkaz"/>
            <w:rFonts w:eastAsia="Times New Roman" w:cs="Times New Roman"/>
            <w:lang w:eastAsia="cs-CZ"/>
          </w:rPr>
          <w:t>Pavlacek@spravazeleznic.cz</w:t>
        </w:r>
      </w:hyperlink>
      <w:r w:rsidRPr="005A37E3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5A37E3">
      <w:pPr>
        <w:spacing w:after="120" w:line="240" w:lineRule="auto"/>
        <w:ind w:left="1418" w:hanging="709"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ouva za</w:t>
      </w:r>
      <w:bookmarkStart w:id="0" w:name="_GoBack"/>
      <w:bookmarkEnd w:id="0"/>
      <w:r w:rsidRPr="000C5DA0">
        <w:rPr>
          <w:rFonts w:eastAsia="Calibri" w:cs="Times New Roman"/>
        </w:rPr>
        <w:t xml:space="preserve">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5A37E3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04A90F1" w14:textId="77777777" w:rsidR="009F1054" w:rsidRPr="009F1054" w:rsidRDefault="009F1054" w:rsidP="009F1054">
      <w:pPr>
        <w:numPr>
          <w:ilvl w:val="1"/>
          <w:numId w:val="41"/>
        </w:numPr>
        <w:tabs>
          <w:tab w:val="num" w:pos="737"/>
        </w:tabs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Verdana" w:hAnsi="Verdana" w:cs="Times New Roman"/>
        </w:rPr>
      </w:pPr>
      <w:r w:rsidRPr="009F1054">
        <w:rPr>
          <w:rFonts w:ascii="Verdana" w:eastAsia="Verdana" w:hAnsi="Verdana" w:cs="Times New Roman"/>
        </w:rP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Objednatel.</w:t>
      </w:r>
    </w:p>
    <w:p w14:paraId="6857935F" w14:textId="6F5EBF3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5A37E3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Zvláštní pod</w:t>
      </w:r>
      <w:r w:rsidR="00FB5045" w:rsidRPr="005A37E3">
        <w:rPr>
          <w:rFonts w:eastAsia="Times New Roman" w:cs="Times New Roman"/>
          <w:lang w:eastAsia="cs-CZ"/>
        </w:rPr>
        <w:t>mínky, na které odkazuje tato S</w:t>
      </w:r>
      <w:r w:rsidRPr="005A37E3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A37E3" w:rsidRDefault="008B1447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Calibri" w:cs="Times New Roman"/>
        </w:rPr>
        <w:t>Tato S</w:t>
      </w:r>
      <w:r w:rsidR="00D85C5B" w:rsidRPr="005A37E3">
        <w:rPr>
          <w:rFonts w:eastAsia="Calibri" w:cs="Times New Roman"/>
        </w:rPr>
        <w:t xml:space="preserve">mlouva nabývá platnosti okamžikem podpisu poslední ze </w:t>
      </w:r>
      <w:r w:rsidR="00FB5045" w:rsidRPr="005A37E3">
        <w:rPr>
          <w:rFonts w:eastAsia="Calibri" w:cs="Times New Roman"/>
        </w:rPr>
        <w:t>Sml</w:t>
      </w:r>
      <w:r w:rsidR="00D85C5B" w:rsidRPr="005A37E3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1EA2014B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F1054">
        <w:rPr>
          <w:rFonts w:eastAsia="Times New Roman" w:cs="Times New Roman"/>
          <w:lang w:eastAsia="cs-CZ"/>
        </w:rPr>
        <w:t>příloha č. 1:</w:t>
      </w:r>
      <w:r w:rsidRPr="009F1054">
        <w:rPr>
          <w:rFonts w:eastAsia="Times New Roman" w:cs="Times New Roman"/>
          <w:lang w:eastAsia="cs-CZ"/>
        </w:rPr>
        <w:tab/>
      </w:r>
      <w:r w:rsidR="009F1054" w:rsidRPr="009F1054">
        <w:rPr>
          <w:rFonts w:eastAsia="Times New Roman" w:cs="Times New Roman"/>
          <w:lang w:eastAsia="cs-CZ"/>
        </w:rPr>
        <w:t>obchodní podmínky</w:t>
      </w:r>
    </w:p>
    <w:p w14:paraId="1416137A" w14:textId="599A5C2D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9F1054">
        <w:rPr>
          <w:rFonts w:eastAsia="Times New Roman" w:cs="Times New Roman"/>
          <w:highlight w:val="yellow"/>
          <w:lang w:eastAsia="cs-CZ"/>
        </w:rPr>
        <w:t>2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537AF04B" w14:textId="6084C6F4" w:rsidR="00D77DE5" w:rsidRDefault="00D77DE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3C32B56F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006748DB" w14:textId="4640AF01" w:rsidR="004D756A" w:rsidRDefault="004D756A" w:rsidP="004D756A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kupujícího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prodávajícího</w:t>
      </w:r>
    </w:p>
    <w:p w14:paraId="1562B1C2" w14:textId="77777777" w:rsidR="004D756A" w:rsidRDefault="004D756A" w:rsidP="004D756A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</w:p>
    <w:p w14:paraId="064A1BCD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64192B6B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34A390C1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01F502DA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2F7B044B" w14:textId="77777777" w:rsidR="004D756A" w:rsidRDefault="004D756A" w:rsidP="004D756A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1D607356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18357CAB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56FC581A" w14:textId="77777777" w:rsidR="004D756A" w:rsidRDefault="004D756A" w:rsidP="004D756A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29CCCF30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942CC3A" w14:textId="227AD507" w:rsidR="00A349F7" w:rsidRPr="00A349F7" w:rsidRDefault="00A349F7" w:rsidP="004D756A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FDFF7" w14:textId="77777777" w:rsidR="0043728F" w:rsidRDefault="0043728F" w:rsidP="00962258">
      <w:pPr>
        <w:spacing w:after="0" w:line="240" w:lineRule="auto"/>
      </w:pPr>
      <w:r>
        <w:separator/>
      </w:r>
    </w:p>
  </w:endnote>
  <w:endnote w:type="continuationSeparator" w:id="0">
    <w:p w14:paraId="24C64B9E" w14:textId="77777777" w:rsidR="0043728F" w:rsidRDefault="004372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BA04454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35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358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2326AE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5DD40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1E036C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B725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A1DADF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35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358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56BBCAF" w:rsidR="001813BF" w:rsidRDefault="001813BF" w:rsidP="00AC6901">
          <w:pPr>
            <w:pStyle w:val="Zpat"/>
          </w:pPr>
          <w:r>
            <w:t>www.</w:t>
          </w:r>
          <w:r w:rsidR="00AC6901">
            <w:t>spravazeleznic</w:t>
          </w:r>
          <w:r>
            <w:t>.cz</w:t>
          </w:r>
        </w:p>
      </w:tc>
      <w:tc>
        <w:tcPr>
          <w:tcW w:w="2921" w:type="dxa"/>
        </w:tcPr>
        <w:p w14:paraId="73EC6D07" w14:textId="77777777" w:rsidR="001813BF" w:rsidRDefault="00213587" w:rsidP="00093A53">
          <w:pPr>
            <w:pStyle w:val="Zpat"/>
          </w:pPr>
          <w:r>
            <w:t>Oblastní ředitelství Olomouc</w:t>
          </w:r>
        </w:p>
        <w:p w14:paraId="375D0684" w14:textId="77777777" w:rsidR="00213587" w:rsidRDefault="00213587" w:rsidP="00093A53">
          <w:pPr>
            <w:pStyle w:val="Zpat"/>
          </w:pPr>
          <w:r>
            <w:t>Nerudova 1</w:t>
          </w:r>
        </w:p>
        <w:p w14:paraId="08C54210" w14:textId="295CC569" w:rsidR="00213587" w:rsidRDefault="00213587" w:rsidP="00093A53">
          <w:pPr>
            <w:pStyle w:val="Zpat"/>
          </w:pPr>
          <w:r>
            <w:t>779 00 Olomouc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6567BD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21857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4ED9D1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F93E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82B14" w14:textId="77777777" w:rsidR="0043728F" w:rsidRDefault="0043728F" w:rsidP="00962258">
      <w:pPr>
        <w:spacing w:after="0" w:line="240" w:lineRule="auto"/>
      </w:pPr>
      <w:r>
        <w:separator/>
      </w:r>
    </w:p>
  </w:footnote>
  <w:footnote w:type="continuationSeparator" w:id="0">
    <w:p w14:paraId="4DB4FD3D" w14:textId="77777777" w:rsidR="0043728F" w:rsidRDefault="004372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1BD3B9B2" wp14:editId="04629E10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586B35"/>
    <w:multiLevelType w:val="hybridMultilevel"/>
    <w:tmpl w:val="6AA84E72"/>
    <w:lvl w:ilvl="0" w:tplc="59AA61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E5E6B"/>
    <w:multiLevelType w:val="multilevel"/>
    <w:tmpl w:val="305CB7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995A883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7C10F4"/>
    <w:multiLevelType w:val="multilevel"/>
    <w:tmpl w:val="197E57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2"/>
  </w:num>
  <w:num w:numId="41">
    <w:abstractNumId w:val="5"/>
  </w:num>
  <w:num w:numId="42">
    <w:abstractNumId w:val="9"/>
  </w:num>
  <w:num w:numId="43">
    <w:abstractNumId w:val="16"/>
  </w:num>
  <w:num w:numId="44">
    <w:abstractNumId w:val="13"/>
  </w:num>
  <w:num w:numId="45">
    <w:abstractNumId w:val="7"/>
  </w:num>
  <w:num w:numId="4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3F08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6BB4"/>
    <w:rsid w:val="001B540F"/>
    <w:rsid w:val="001C22E7"/>
    <w:rsid w:val="001C4874"/>
    <w:rsid w:val="001E62F8"/>
    <w:rsid w:val="00207DF5"/>
    <w:rsid w:val="00213587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22681"/>
    <w:rsid w:val="00341DCF"/>
    <w:rsid w:val="00357BC6"/>
    <w:rsid w:val="00385A72"/>
    <w:rsid w:val="003956C6"/>
    <w:rsid w:val="003A63EE"/>
    <w:rsid w:val="003B39EC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756A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A37E3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7B7F"/>
    <w:rsid w:val="006A5570"/>
    <w:rsid w:val="006A689C"/>
    <w:rsid w:val="006B3D79"/>
    <w:rsid w:val="006D229F"/>
    <w:rsid w:val="006D7AFE"/>
    <w:rsid w:val="006E0578"/>
    <w:rsid w:val="006E314D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0CF4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105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C690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A4013"/>
    <w:rsid w:val="00CC1601"/>
    <w:rsid w:val="00CD16B7"/>
    <w:rsid w:val="00CD1FC4"/>
    <w:rsid w:val="00CD7BE5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5CC89A3A-634A-4AD3-9AF0-AEC5D9D8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vlace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6C615D-B25F-448B-AA62-7633583B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1184</Words>
  <Characters>6987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14</cp:revision>
  <cp:lastPrinted>2017-11-28T17:18:00Z</cp:lastPrinted>
  <dcterms:created xsi:type="dcterms:W3CDTF">2020-01-20T10:37:00Z</dcterms:created>
  <dcterms:modified xsi:type="dcterms:W3CDTF">2020-07-15T12:51:00Z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